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125</w:t>
      </w:r>
      <w:r>
        <w:rPr>
          <w:rFonts w:ascii="Times New Roman" w:eastAsia="Times New Roman" w:hAnsi="Times New Roman" w:cs="Times New Roman"/>
          <w:sz w:val="26"/>
          <w:szCs w:val="26"/>
        </w:rPr>
        <w:t>-26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Style w:val="cat-Addressgrp-0rplc-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>
        <w:rPr>
          <w:rStyle w:val="cat-Dategrp-12rplc-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И.о</w:t>
      </w:r>
      <w:r>
        <w:rPr>
          <w:rFonts w:ascii="Times New Roman" w:eastAsia="Times New Roman" w:hAnsi="Times New Roman" w:cs="Times New Roman"/>
          <w:sz w:val="27"/>
          <w:szCs w:val="27"/>
        </w:rPr>
        <w:t>.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Бордунов М.Б., расположенный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308, </w:t>
      </w:r>
    </w:p>
    <w:p>
      <w:pPr>
        <w:spacing w:before="0" w:after="0"/>
        <w:ind w:right="22" w:firstLine="60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материалы дела об административном правонарушении, предусмотренном ч. 1 ст. 15.33.2 КоАП РФ, в отношении должностного лица </w:t>
      </w:r>
      <w:r>
        <w:rPr>
          <w:rFonts w:ascii="Times New Roman" w:eastAsia="Times New Roman" w:hAnsi="Times New Roman" w:cs="Times New Roman"/>
          <w:sz w:val="27"/>
          <w:szCs w:val="27"/>
        </w:rPr>
        <w:t>Таренковой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Марины Александровны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ExternalSystemDefinedgrp-42rplc-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34rplc-7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45rplc-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OrganizationNamegrp-36rplc-12"/>
          <w:rFonts w:ascii="Times New Roman" w:eastAsia="Times New Roman" w:hAnsi="Times New Roman" w:cs="Times New Roman"/>
          <w:sz w:val="27"/>
          <w:szCs w:val="27"/>
        </w:rPr>
        <w:t>наименование организации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PassportDatagrp-35rplc-13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Style w:val="cat-ExternalSystemDefinedgrp-44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43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567"/>
        <w:jc w:val="center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со ст. 15 Федерального закона от </w:t>
      </w:r>
      <w:r>
        <w:rPr>
          <w:rStyle w:val="cat-Dategrp-14rplc-16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237-ФЗ «О внесении изменений в отдельные законодательные акты Российской Федерации» за отчетные периоды, истекшие до </w:t>
      </w:r>
      <w:r>
        <w:rPr>
          <w:rStyle w:val="cat-Dategrp-13rplc-17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 сведения для индивидуального (персонифицированного) учета представляются страхователями в соответствующие органы Фонда пенсионного и социального страхования Российской Федерации в порядке, действовавшем до дня вступления в силу Федерального закона.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п. 2</w:t>
      </w:r>
      <w:r>
        <w:rPr>
          <w:rFonts w:ascii="Times New Roman" w:eastAsia="Times New Roman" w:hAnsi="Times New Roman" w:cs="Times New Roman"/>
          <w:sz w:val="27"/>
          <w:szCs w:val="27"/>
        </w:rPr>
        <w:t>.2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11 Федерального Закона от </w:t>
      </w:r>
      <w:r>
        <w:rPr>
          <w:rStyle w:val="cat-Dategrp-15rplc-18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27-ФЗ «Об индивидуальном (персонифицированном) учете в системе обязательного пенсионного страхования» - страхователь </w:t>
      </w:r>
      <w:r>
        <w:rPr>
          <w:rFonts w:ascii="Times New Roman" w:eastAsia="Times New Roman" w:hAnsi="Times New Roman" w:cs="Times New Roman"/>
          <w:sz w:val="27"/>
          <w:szCs w:val="27"/>
        </w:rPr>
        <w:t>ежемесячно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 позднее </w:t>
      </w:r>
      <w:r>
        <w:rPr>
          <w:rFonts w:ascii="Times New Roman" w:eastAsia="Times New Roman" w:hAnsi="Times New Roman" w:cs="Times New Roman"/>
          <w:sz w:val="27"/>
          <w:szCs w:val="27"/>
        </w:rPr>
        <w:t>15-го числа месяца, следующего за отчетным периодом – месяцем, представляет сведения о каждом работающем у него застрахованном лице (включая лиц, заключивших договоры гражданско-правового характера, предметом которых являются выполнение работ, оказание услуг,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вышеуказанной статьей страхователь ежегодно не позднее </w:t>
      </w:r>
      <w:r>
        <w:rPr>
          <w:rStyle w:val="cat-Dategrp-16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года, следующего за отчетным годом представляет о каждом работающем у него застрахованном лице (включая лиц, заключивших договоры гражданско-правового характера, на вознаграждения по которым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 о налогах и сборах начисляются страховые взносы).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ходе проверки представленных сведений Фонду пенсионного и социального страхования Российской Федерации обнаружены расхождения: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представлены страхователем индивидуальные сведения по форме СЗВ-М за </w:t>
      </w:r>
      <w:r>
        <w:rPr>
          <w:rStyle w:val="cat-Dategrp-17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Форма СЗВ-СТАЖ за данный период отсутствует.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со ст. 17 Федерального Закона от </w:t>
      </w:r>
      <w:r>
        <w:rPr>
          <w:rStyle w:val="cat-Dategrp-15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27-ФЗ «Об индивидуальном (персонифицированном) учете в системе обязательного пенсионного страхования» </w:t>
      </w:r>
      <w:r>
        <w:rPr>
          <w:rStyle w:val="cat-Dategrp-18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направлено почтой Уведомление об устранении ошибок и (или) между представленными страхователем сведениями и сведениями, имеющимися у Фонда пенсионного и социального страхования Российской Федерации.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Страхователем </w:t>
      </w:r>
      <w:r>
        <w:rPr>
          <w:rStyle w:val="cat-OrganizationNamegrp-36rplc-23"/>
          <w:rFonts w:ascii="Times New Roman" w:eastAsia="Times New Roman" w:hAnsi="Times New Roman" w:cs="Times New Roman"/>
          <w:sz w:val="27"/>
          <w:szCs w:val="27"/>
        </w:rPr>
        <w:t>наименование организации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получено </w:t>
      </w:r>
      <w:r>
        <w:rPr>
          <w:rStyle w:val="cat-Dategrp-19rplc-2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уведомление об устранении расхождений по сверке между СЗВ-М за 2022 и СЗВ-СТАЖ 2022 уточненные сведения должны быть представлены в течении пяти рабочих дней по </w:t>
      </w:r>
      <w:r>
        <w:rPr>
          <w:rStyle w:val="cat-Dategrp-20rplc-2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 в течение пяти рабочих дней имеющиеся ошибки и несоответствия не устранены.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Правонарушение совершено </w:t>
      </w:r>
      <w:r>
        <w:rPr>
          <w:rStyle w:val="cat-Dategrp-21rplc-26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r>
        <w:rPr>
          <w:rStyle w:val="cat-Timegrp-37rplc-27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по адресу: ХМАО-Югра, </w:t>
      </w:r>
      <w:r>
        <w:rPr>
          <w:rStyle w:val="cat-Addressgrp-4rplc-28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102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Таренкова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7"/>
          <w:szCs w:val="27"/>
        </w:rPr>
        <w:t>ась</w:t>
      </w:r>
      <w:r>
        <w:rPr>
          <w:rFonts w:ascii="Times New Roman" w:eastAsia="Times New Roman" w:hAnsi="Times New Roman" w:cs="Times New Roman"/>
          <w:sz w:val="27"/>
          <w:szCs w:val="27"/>
        </w:rPr>
        <w:t>, извещен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, ходатайств не заявлял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Таренковой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подтверждение виновности должностного лица </w:t>
      </w:r>
      <w:r>
        <w:rPr>
          <w:rFonts w:ascii="Times New Roman" w:eastAsia="Times New Roman" w:hAnsi="Times New Roman" w:cs="Times New Roman"/>
          <w:sz w:val="27"/>
          <w:szCs w:val="27"/>
        </w:rPr>
        <w:t>Таренковой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 суду представлены следующие доказательства: 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</w:rPr>
        <w:t>122</w:t>
      </w:r>
      <w:r>
        <w:rPr>
          <w:rFonts w:ascii="Times New Roman" w:eastAsia="Times New Roman" w:hAnsi="Times New Roman" w:cs="Times New Roman"/>
          <w:sz w:val="27"/>
          <w:szCs w:val="27"/>
        </w:rPr>
        <w:t>27</w:t>
      </w:r>
      <w:r>
        <w:rPr>
          <w:rFonts w:ascii="Times New Roman" w:eastAsia="Times New Roman" w:hAnsi="Times New Roman" w:cs="Times New Roman"/>
          <w:sz w:val="27"/>
          <w:szCs w:val="27"/>
        </w:rPr>
        <w:t>/20</w:t>
      </w:r>
      <w:r>
        <w:rPr>
          <w:rFonts w:ascii="Times New Roman" w:eastAsia="Times New Roman" w:hAnsi="Times New Roman" w:cs="Times New Roman"/>
          <w:sz w:val="27"/>
          <w:szCs w:val="27"/>
        </w:rPr>
        <w:t>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22rplc-3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список почтовых отправлений; уведомление о составлении протокола об административном правонарушении; копия акта о выявлении правонарушения в сфере законодательства РФ об индивидуальном (персонифицированном) учете в системе обязательного пенсионного страхования; расчет финансовой санкции; уведомление об устранении ошибок и (или) несоответствий между представленными страхователями сведениями и сведениями, имеющимися у </w:t>
      </w:r>
      <w:r>
        <w:rPr>
          <w:rFonts w:ascii="Times New Roman" w:eastAsia="Times New Roman" w:hAnsi="Times New Roman" w:cs="Times New Roman"/>
          <w:sz w:val="27"/>
          <w:szCs w:val="27"/>
        </w:rPr>
        <w:t>Социального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фонда РФ; сведения о застрахованных лицах; извещения о доставке и протоколы проверки; выписка из ЕГРЮЛ.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Изложенные доказательства получены с соблюдением требований КоАП РФ, допустимы и достоверны, оценены судом по правилам ст. 26.11 КоАП РФ и в своей совокупности подтверждают вину </w:t>
      </w:r>
      <w:r>
        <w:rPr>
          <w:rFonts w:ascii="Times New Roman" w:eastAsia="Times New Roman" w:hAnsi="Times New Roman" w:cs="Times New Roman"/>
          <w:sz w:val="27"/>
          <w:szCs w:val="27"/>
        </w:rPr>
        <w:t>Таренковой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</w:t>
      </w:r>
      <w:r>
        <w:rPr>
          <w:rFonts w:ascii="Times New Roman" w:eastAsia="Times New Roman" w:hAnsi="Times New Roman" w:cs="Times New Roman"/>
          <w:sz w:val="27"/>
          <w:szCs w:val="27"/>
        </w:rPr>
        <w:t>министративного правонарушения.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Статьей 15 Федерального закона от </w:t>
      </w:r>
      <w:r>
        <w:rPr>
          <w:rStyle w:val="cat-Dategrp-23rplc-3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N 27-ФЗ "Об индивидуальном (персонифицированном) учете в системе обязательного пенсионного страхования" установлена обязанность страхователя в установленный срок представлять органам Пенсионного фонда Российской Федерации сведения о застрахованных лицах, определенные настоящим Федеральным законом.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ст. 17 Федерального Закона от </w:t>
      </w:r>
      <w:r>
        <w:rPr>
          <w:rStyle w:val="cat-Dategrp-15rplc-3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27-ФЗ «Об индивидуальном (персонифицированном) учете в системе обязательного пенсионного страхования» - при обнаружении в представленных страхователем сведениях ошибок и (или) несоответствий между представленными сведениями и сведениями, имеющимися у Пенсионного фонда Российской Федерации,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уведомление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об устранении в течение пяти рабочих дней имеющихся расхождений вручается страхователю лично под расписку, направляется по почте заказным письмом или передается в электронном виде по телекоммуникационным каналам связи. В случае направления уведомления по почте заказным письмом датой вручения этого уведомления считается шестой день считая с даты отправления заказного письма.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Таренковой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ч. 1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ст.15.33.2 Кодекса РФ об административных правонарушениях – </w:t>
      </w:r>
      <w:r>
        <w:rPr>
          <w:rFonts w:ascii="Roboto" w:eastAsia="Roboto" w:hAnsi="Roboto" w:cs="Roboto"/>
          <w:sz w:val="27"/>
          <w:szCs w:val="27"/>
        </w:rPr>
        <w:t xml:space="preserve">непредставление в установленный </w:t>
      </w:r>
      <w:hyperlink r:id="rId6" w:anchor="/document/10106192/entry/8" w:history="1">
        <w:r>
          <w:rPr>
            <w:rFonts w:ascii="Roboto" w:eastAsia="Roboto" w:hAnsi="Roboto" w:cs="Roboto"/>
            <w:color w:val="0000EE"/>
            <w:sz w:val="27"/>
            <w:szCs w:val="27"/>
            <w:u w:val="single" w:color="0000EE"/>
          </w:rPr>
          <w:t>законодательством</w:t>
        </w:r>
      </w:hyperlink>
      <w:r>
        <w:rPr>
          <w:rFonts w:ascii="Roboto" w:eastAsia="Roboto" w:hAnsi="Roboto" w:cs="Roboto"/>
          <w:sz w:val="27"/>
          <w:szCs w:val="27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6" w:anchor="/document/12125267/entry/1533202" w:history="1">
        <w:r>
          <w:rPr>
            <w:rFonts w:ascii="Roboto" w:eastAsia="Roboto" w:hAnsi="Roboto" w:cs="Roboto"/>
            <w:color w:val="0000EE"/>
            <w:sz w:val="27"/>
            <w:szCs w:val="27"/>
            <w:u w:val="single" w:color="0000EE"/>
          </w:rPr>
          <w:t>частью 2</w:t>
        </w:r>
      </w:hyperlink>
      <w:r>
        <w:rPr>
          <w:rFonts w:ascii="Roboto" w:eastAsia="Roboto" w:hAnsi="Roboto" w:cs="Roboto"/>
          <w:sz w:val="27"/>
          <w:szCs w:val="27"/>
        </w:rPr>
        <w:t xml:space="preserve"> настоящей статьи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 возможность освобождения лица от административной ответственности при малозначительности административного правонарушения, в соответствии со ст. 2.9 КоАП РФ.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вышеизложенного, и руководствуясь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>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7"/>
          <w:szCs w:val="27"/>
        </w:rPr>
      </w:pP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Таренкову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Марину Александровну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ч. 1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ст. 15.33.2 КоАП РФ и назначить наказание в виде административного штрафа в размере </w:t>
      </w:r>
      <w:r>
        <w:rPr>
          <w:rStyle w:val="cat-Sumgrp-33rplc-3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Разъяснить, что административный штраф подлежит уплате по следующ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им реквизитам: Банк получателя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РКЦ </w:t>
      </w:r>
      <w:r>
        <w:rPr>
          <w:rStyle w:val="cat-Addressgrp-5rplc-39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Addressgrp-5rplc-40"/>
          <w:rFonts w:ascii="Times New Roman" w:eastAsia="Times New Roman" w:hAnsi="Times New Roman" w:cs="Times New Roman"/>
          <w:sz w:val="27"/>
          <w:szCs w:val="27"/>
        </w:rPr>
        <w:t>адрес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перечислять по следующим реквизитам: Банк получателя РКЦ </w:t>
      </w:r>
      <w:r>
        <w:rPr>
          <w:rStyle w:val="cat-Addressgrp-7rplc-41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  <w:r>
        <w:rPr>
          <w:rStyle w:val="cat-Addressgrp-8rplc-4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Ханты-Мансийск, Получатель: УФК по </w:t>
      </w:r>
      <w:r>
        <w:rPr>
          <w:rStyle w:val="cat-Addressgrp-6rplc-4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r>
        <w:rPr>
          <w:rStyle w:val="cat-Addressgrp-9rplc-4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(ОСФР по ХМАО-Югре, л/с 04874Ф87010), </w:t>
      </w:r>
      <w:r>
        <w:rPr>
          <w:rFonts w:ascii="Times New Roman" w:eastAsia="Times New Roman" w:hAnsi="Times New Roman" w:cs="Times New Roman"/>
          <w:sz w:val="27"/>
          <w:szCs w:val="27"/>
        </w:rPr>
        <w:t>кор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счет N 40102810245370000007, ИНН </w:t>
      </w:r>
      <w:r>
        <w:rPr>
          <w:rStyle w:val="cat-PhoneNumbergrp-38rplc-45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КПП </w:t>
      </w:r>
      <w:r>
        <w:rPr>
          <w:rStyle w:val="cat-PhoneNumbergrp-39rplc-46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БИК ТОФК </w:t>
      </w:r>
      <w:r>
        <w:rPr>
          <w:rStyle w:val="cat-PhoneNumbergrp-40rplc-47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ОКТМО </w:t>
      </w:r>
      <w:r>
        <w:rPr>
          <w:rStyle w:val="cat-PhoneNumbergrp-41rplc-48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Style w:val="cat-Addressgrp-0rplc-49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), р/счет - 03100643000000018700, КБК 7971160123006000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140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УИН 797</w:t>
      </w:r>
      <w:r>
        <w:rPr>
          <w:rFonts w:ascii="Times New Roman" w:eastAsia="Times New Roman" w:hAnsi="Times New Roman" w:cs="Times New Roman"/>
          <w:sz w:val="27"/>
          <w:szCs w:val="27"/>
        </w:rPr>
        <w:t>02700000000044</w:t>
      </w:r>
      <w:r>
        <w:rPr>
          <w:rFonts w:ascii="Times New Roman" w:eastAsia="Times New Roman" w:hAnsi="Times New Roman" w:cs="Times New Roman"/>
          <w:sz w:val="27"/>
          <w:szCs w:val="27"/>
        </w:rPr>
        <w:t>244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квитанции предоставляется в каб.10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дома 9 по </w:t>
      </w:r>
      <w:r>
        <w:rPr>
          <w:rStyle w:val="cat-Addressgrp-11rplc-5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Addressgrp-10rplc-51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Неуплата штрафа в течение 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>0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>М.Б. Бордунов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Копия верна: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И.о</w:t>
      </w:r>
      <w:r>
        <w:rPr>
          <w:rFonts w:ascii="Times New Roman" w:eastAsia="Times New Roman" w:hAnsi="Times New Roman" w:cs="Times New Roman"/>
          <w:sz w:val="22"/>
          <w:szCs w:val="22"/>
        </w:rPr>
        <w:t>. 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го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24rplc-54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125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Секретарь судебного заседания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2rplc-1">
    <w:name w:val="cat-Date grp-12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42rplc-6">
    <w:name w:val="cat-ExternalSystemDefined grp-42 rplc-6"/>
    <w:basedOn w:val="DefaultParagraphFont"/>
  </w:style>
  <w:style w:type="character" w:customStyle="1" w:styleId="cat-PassportDatagrp-34rplc-7">
    <w:name w:val="cat-PassportData grp-34 rplc-7"/>
    <w:basedOn w:val="DefaultParagraphFont"/>
  </w:style>
  <w:style w:type="character" w:customStyle="1" w:styleId="cat-UserDefinedgrp-45rplc-9">
    <w:name w:val="cat-UserDefined grp-45 rplc-9"/>
    <w:basedOn w:val="DefaultParagraphFont"/>
  </w:style>
  <w:style w:type="character" w:customStyle="1" w:styleId="cat-OrganizationNamegrp-36rplc-12">
    <w:name w:val="cat-OrganizationName grp-36 rplc-12"/>
    <w:basedOn w:val="DefaultParagraphFont"/>
  </w:style>
  <w:style w:type="character" w:customStyle="1" w:styleId="cat-PassportDatagrp-35rplc-13">
    <w:name w:val="cat-PassportData grp-35 rplc-13"/>
    <w:basedOn w:val="DefaultParagraphFont"/>
  </w:style>
  <w:style w:type="character" w:customStyle="1" w:styleId="cat-ExternalSystemDefinedgrp-44rplc-14">
    <w:name w:val="cat-ExternalSystemDefined grp-44 rplc-14"/>
    <w:basedOn w:val="DefaultParagraphFont"/>
  </w:style>
  <w:style w:type="character" w:customStyle="1" w:styleId="cat-ExternalSystemDefinedgrp-43rplc-15">
    <w:name w:val="cat-ExternalSystemDefined grp-43 rplc-15"/>
    <w:basedOn w:val="DefaultParagraphFont"/>
  </w:style>
  <w:style w:type="character" w:customStyle="1" w:styleId="cat-Dategrp-14rplc-16">
    <w:name w:val="cat-Date grp-14 rplc-16"/>
    <w:basedOn w:val="DefaultParagraphFont"/>
  </w:style>
  <w:style w:type="character" w:customStyle="1" w:styleId="cat-Dategrp-13rplc-17">
    <w:name w:val="cat-Date grp-13 rplc-17"/>
    <w:basedOn w:val="DefaultParagraphFont"/>
  </w:style>
  <w:style w:type="character" w:customStyle="1" w:styleId="cat-Dategrp-15rplc-18">
    <w:name w:val="cat-Date grp-15 rplc-18"/>
    <w:basedOn w:val="DefaultParagraphFont"/>
  </w:style>
  <w:style w:type="character" w:customStyle="1" w:styleId="cat-Dategrp-16rplc-19">
    <w:name w:val="cat-Date grp-16 rplc-19"/>
    <w:basedOn w:val="DefaultParagraphFont"/>
  </w:style>
  <w:style w:type="character" w:customStyle="1" w:styleId="cat-Dategrp-17rplc-20">
    <w:name w:val="cat-Date grp-17 rplc-20"/>
    <w:basedOn w:val="DefaultParagraphFont"/>
  </w:style>
  <w:style w:type="character" w:customStyle="1" w:styleId="cat-Dategrp-15rplc-21">
    <w:name w:val="cat-Date grp-15 rplc-21"/>
    <w:basedOn w:val="DefaultParagraphFont"/>
  </w:style>
  <w:style w:type="character" w:customStyle="1" w:styleId="cat-Dategrp-18rplc-22">
    <w:name w:val="cat-Date grp-18 rplc-22"/>
    <w:basedOn w:val="DefaultParagraphFont"/>
  </w:style>
  <w:style w:type="character" w:customStyle="1" w:styleId="cat-OrganizationNamegrp-36rplc-23">
    <w:name w:val="cat-OrganizationName grp-36 rplc-23"/>
    <w:basedOn w:val="DefaultParagraphFont"/>
  </w:style>
  <w:style w:type="character" w:customStyle="1" w:styleId="cat-Dategrp-19rplc-24">
    <w:name w:val="cat-Date grp-19 rplc-24"/>
    <w:basedOn w:val="DefaultParagraphFont"/>
  </w:style>
  <w:style w:type="character" w:customStyle="1" w:styleId="cat-Dategrp-20rplc-25">
    <w:name w:val="cat-Date grp-20 rplc-25"/>
    <w:basedOn w:val="DefaultParagraphFont"/>
  </w:style>
  <w:style w:type="character" w:customStyle="1" w:styleId="cat-Dategrp-21rplc-26">
    <w:name w:val="cat-Date grp-21 rplc-26"/>
    <w:basedOn w:val="DefaultParagraphFont"/>
  </w:style>
  <w:style w:type="character" w:customStyle="1" w:styleId="cat-Timegrp-37rplc-27">
    <w:name w:val="cat-Time grp-37 rplc-27"/>
    <w:basedOn w:val="DefaultParagraphFont"/>
  </w:style>
  <w:style w:type="character" w:customStyle="1" w:styleId="cat-Addressgrp-4rplc-28">
    <w:name w:val="cat-Address grp-4 rplc-28"/>
    <w:basedOn w:val="DefaultParagraphFont"/>
  </w:style>
  <w:style w:type="character" w:customStyle="1" w:styleId="cat-Dategrp-22rplc-32">
    <w:name w:val="cat-Date grp-22 rplc-32"/>
    <w:basedOn w:val="DefaultParagraphFont"/>
  </w:style>
  <w:style w:type="character" w:customStyle="1" w:styleId="cat-Dategrp-23rplc-34">
    <w:name w:val="cat-Date grp-23 rplc-34"/>
    <w:basedOn w:val="DefaultParagraphFont"/>
  </w:style>
  <w:style w:type="character" w:customStyle="1" w:styleId="cat-Dategrp-15rplc-35">
    <w:name w:val="cat-Date grp-15 rplc-35"/>
    <w:basedOn w:val="DefaultParagraphFont"/>
  </w:style>
  <w:style w:type="character" w:customStyle="1" w:styleId="cat-Sumgrp-33rplc-38">
    <w:name w:val="cat-Sum grp-33 rplc-38"/>
    <w:basedOn w:val="DefaultParagraphFont"/>
  </w:style>
  <w:style w:type="character" w:customStyle="1" w:styleId="cat-Addressgrp-5rplc-39">
    <w:name w:val="cat-Address grp-5 rplc-39"/>
    <w:basedOn w:val="DefaultParagraphFont"/>
  </w:style>
  <w:style w:type="character" w:customStyle="1" w:styleId="cat-Addressgrp-5rplc-40">
    <w:name w:val="cat-Address grp-5 rplc-40"/>
    <w:basedOn w:val="DefaultParagraphFont"/>
  </w:style>
  <w:style w:type="character" w:customStyle="1" w:styleId="cat-Addressgrp-7rplc-41">
    <w:name w:val="cat-Address grp-7 rplc-41"/>
    <w:basedOn w:val="DefaultParagraphFont"/>
  </w:style>
  <w:style w:type="character" w:customStyle="1" w:styleId="cat-Addressgrp-8rplc-42">
    <w:name w:val="cat-Address grp-8 rplc-42"/>
    <w:basedOn w:val="DefaultParagraphFont"/>
  </w:style>
  <w:style w:type="character" w:customStyle="1" w:styleId="cat-Addressgrp-6rplc-43">
    <w:name w:val="cat-Address grp-6 rplc-43"/>
    <w:basedOn w:val="DefaultParagraphFont"/>
  </w:style>
  <w:style w:type="character" w:customStyle="1" w:styleId="cat-Addressgrp-9rplc-44">
    <w:name w:val="cat-Address grp-9 rplc-44"/>
    <w:basedOn w:val="DefaultParagraphFont"/>
  </w:style>
  <w:style w:type="character" w:customStyle="1" w:styleId="cat-PhoneNumbergrp-38rplc-45">
    <w:name w:val="cat-PhoneNumber grp-38 rplc-45"/>
    <w:basedOn w:val="DefaultParagraphFont"/>
  </w:style>
  <w:style w:type="character" w:customStyle="1" w:styleId="cat-PhoneNumbergrp-39rplc-46">
    <w:name w:val="cat-PhoneNumber grp-39 rplc-46"/>
    <w:basedOn w:val="DefaultParagraphFont"/>
  </w:style>
  <w:style w:type="character" w:customStyle="1" w:styleId="cat-PhoneNumbergrp-40rplc-47">
    <w:name w:val="cat-PhoneNumber grp-40 rplc-47"/>
    <w:basedOn w:val="DefaultParagraphFont"/>
  </w:style>
  <w:style w:type="character" w:customStyle="1" w:styleId="cat-PhoneNumbergrp-41rplc-48">
    <w:name w:val="cat-PhoneNumber grp-41 rplc-48"/>
    <w:basedOn w:val="DefaultParagraphFont"/>
  </w:style>
  <w:style w:type="character" w:customStyle="1" w:styleId="cat-Addressgrp-0rplc-49">
    <w:name w:val="cat-Address grp-0 rplc-49"/>
    <w:basedOn w:val="DefaultParagraphFont"/>
  </w:style>
  <w:style w:type="character" w:customStyle="1" w:styleId="cat-Addressgrp-11rplc-50">
    <w:name w:val="cat-Address grp-11 rplc-50"/>
    <w:basedOn w:val="DefaultParagraphFont"/>
  </w:style>
  <w:style w:type="character" w:customStyle="1" w:styleId="cat-Addressgrp-10rplc-51">
    <w:name w:val="cat-Address grp-10 rplc-51"/>
    <w:basedOn w:val="DefaultParagraphFont"/>
  </w:style>
  <w:style w:type="character" w:customStyle="1" w:styleId="cat-Dategrp-24rplc-54">
    <w:name w:val="cat-Date grp-24 rplc-5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800200.420" TargetMode="External" /><Relationship Id="rId5" Type="http://schemas.openxmlformats.org/officeDocument/2006/relationships/hyperlink" Target="garantf1://71571074.5000/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